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Онкология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04:26 МСК · База обновлена: 22.07.2026, 10:23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Онкология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Пациентка  Н. 47 лет обратилась к хирургу по месту жительства.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слабость, утомляемость, периодические боли за грудиной при приеме твердой пищи, а так же затрудненное прохождение твердой пищи при глотании в течение последних 2-х  месяцев, потеряла в весе 7 кг за последние 4 месяца, тошноту, периодическую рвоту только что съеденной пищей.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Пациентка отмечает появление чувства дискомфорта за грудиной при приеме твердой пищи в течение последних 2-х месяцев, за последний месяц отметила затрудненное прохождение твердой пищи по пищеводу, в настоящее время проходит только жидкая и полужидкая пища. К врачу не обращалась. Похудела на 7 кг за последние 4 месяца. В настоящее время отмечает нарастание симптомов, появление непостоянных болей за грудиной давящего характера. Со слов, не курит, крепкие спиртные напитки не употребляет. В 24 года перенесла ожог пищевода уксусной эссенцией.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В 24 летнем возрасте перенесла химический ожог пищевода;</w:t>
        <w:br/>
        <w:t>* Не курит, крепкий алкоголь не употребляет;</w:t>
        <w:br/>
        <w:t>* Почтальон. Профессиональных вредностей не имеет;</w:t>
        <w:br/>
        <w:t>* Аллергические реакции не отмечает.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относительно удовлетворительное. Вес 57 кг, рост 163 см. Температура тела 36,8 °С.</w:t>
        <w:br/>
        <w:t>Кожные покровы и видимые слизистые физиологической окраски, тургор не снижен. Аускультативно дыхание в легких проводится во все отделы, хрипов над всей поверхностью легких нет. ЧДД 16 в мин. Тоны сердца ясные, ритмичные, АД 115/65 мм.рт.ст, PS - 72 в мин. Живот мягкий, безболезненный при пальпации во всех отделах. Перитонеальных симптомов нет. Аускультативно перистальтика ясная. Со слов, стул регулярный, физиологичной окраски. Мочеиспускание свободное.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Необходимыми для постановки диагноза лабораторными методами обследования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общий анализ мочи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биохимический анализ крови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общий анализ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коагулограмма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2 — биохимический анализ крови; 3 — общий анализ крови</w:t>
      </w:r>
    </w:p>
    <w:p>
      <w:pPr>
        <w:ind w:left="504"/>
      </w:pPr>
      <w:r>
        <w:rPr>
          <w:b w:val="0"/>
          <w:i/>
        </w:rPr>
        <w:t>Опухоли активно потребляют аминокислоты, так как необходимы для синтеза белка, являющегося строительным материалом для формирования новых клеток, из-за этого уровень общего белка и альбумина в крови снижаются. Недостаточное питание из-за дисфагии при водит к меньшему поступлению белка в организм, что приводит к нарастанию белковой недостаточности.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Рак пищевода и кардии, 2024 г.</w:t>
        </w:r>
      </w:hyperlink>
      <w:r>
        <w:rPr>
          <w:b w:val="0"/>
          <w:i/>
        </w:rPr>
        <w:t xml:space="preserve"> </w:t>
      </w:r>
      <w:hyperlink r:id="rId22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Анемия у пациента раком пищевода является следствием хронической кровопотери и недостаточного поступления железа из-за нарушения питания.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Рак пищевода и кардии, 2024 г.</w:t>
        </w:r>
      </w:hyperlink>
      <w:r>
        <w:rPr>
          <w:b w:val="0"/>
          <w:i/>
        </w:rPr>
        <w:t xml:space="preserve"> </w:t>
      </w:r>
      <w:hyperlink r:id="rId2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Необходимым для постановки диагноза инструментальным методом обследования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эзофагогастродуоденоскопия с биопсией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ПЭТ-КТ всего тела с 18-ФДГ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КТ органов грудной клетки и брюшной полости с в / в контрастированием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R-логическое исследование пищевода с контрастированием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эзофагогастродуоденоскопия с биопсией</w:t>
      </w:r>
    </w:p>
    <w:p>
      <w:pPr>
        <w:ind w:left="504"/>
      </w:pPr>
      <w:r>
        <w:rPr>
          <w:b w:val="0"/>
          <w:i/>
        </w:rPr>
        <w:t>ЭГДС – наиболее информативный метод исследования при раке пищевода, позволяющий непосредственно визуализировать опухоль, определить ее размеры, локализацию и макроскопический тип, оценить угрозу осложнений (кровотечение, перфорация), а также получить материал для патологоанатомического исследования.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Рак пищевода и кардии, 2024 г.</w:t>
        </w:r>
      </w:hyperlink>
      <w:r>
        <w:rPr>
          <w:b w:val="0"/>
          <w:i/>
        </w:rPr>
        <w:t xml:space="preserve"> </w:t>
      </w:r>
      <w:hyperlink r:id="rId24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Данной пациентке на основании результатов клинико-лабораторных и инструментальных методов обследования можно поставить клинический диагноз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Сдавливание пищевода извне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Рак нижне-грудного отдела пищевода сT2N1M0, II стадия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Лимфома нижней трети пищевода пищевода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Рубцовая стриктура пищевода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Рак нижне-грудного отдела пищевода сT2N1M0, II стадия</w:t>
      </w:r>
    </w:p>
    <w:p>
      <w:pPr>
        <w:ind w:left="504"/>
      </w:pPr>
      <w:r>
        <w:rPr>
          <w:b w:val="0"/>
          <w:i/>
        </w:rPr>
        <w:t>* Результат эзофагогастродуоденоскопии, при которой определяется стенозирующая опухоль пищевода</w:t>
        <w:br/>
        <w:t>* Результаты морфологического исследования биопсии</w:t>
        <w:br/>
        <w:t>* КТ данные за объемное образование нижней трети пищевода</w:t>
        <w:br/>
        <w:br/>
        <w:t>Классификация Американского противоракового комитета (AJCC) 8Ed – 2017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Рак пищевода и кардии, 2024 г.</w:t>
        </w:r>
      </w:hyperlink>
      <w:r>
        <w:rPr>
          <w:b w:val="0"/>
          <w:i/>
        </w:rPr>
        <w:t xml:space="preserve"> </w:t>
      </w:r>
      <w:hyperlink r:id="rId2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У пациентки дисфагия +_____+ стадии по классификации проф. А.И. Савицкого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I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III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IV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II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I</w:t>
      </w:r>
    </w:p>
    <w:p>
      <w:pPr>
        <w:ind w:left="504"/>
      </w:pPr>
      <w:r>
        <w:rPr>
          <w:b w:val="0"/>
          <w:i/>
        </w:rPr>
        <w:t>Классификация дисфагии, предложенная профессором А.И. Савицким:</w:t>
        <w:br/>
        <w:br/>
        <w:t>I стадия – затруднение при глотании твердой пищи,</w:t>
        <w:br/>
        <w:br/>
        <w:t>II стадия – затруднение при глотании кашицеобразной пищи,</w:t>
        <w:br/>
        <w:br/>
        <w:t>III стадия – затруднение при глотании жидкости,</w:t>
        <w:br/>
        <w:br/>
        <w:t>IV стадия – полная непроходимость.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Рак пищевода и кардии, 2024 г.</w:t>
        </w:r>
      </w:hyperlink>
      <w:r>
        <w:rPr>
          <w:b w:val="0"/>
          <w:i/>
        </w:rPr>
        <w:t xml:space="preserve"> </w:t>
      </w:r>
      <w:hyperlink r:id="rId26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При раке пищевода наиболее частым гистологическим вариантом опухоли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мелкоклеточный рак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плоскоклеточный рак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карциносаркома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аденокарцинома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плоскоклеточный рак</w:t>
      </w:r>
    </w:p>
    <w:p>
      <w:pPr>
        <w:ind w:left="504"/>
      </w:pPr>
      <w:r>
        <w:rPr>
          <w:b w:val="0"/>
          <w:i/>
        </w:rPr>
        <w:t>Наиболее частой морфологической формой в России является плоскоклеточный рак, реже аденокарцинома (в основном, в дистальной части пищевода и пищеводно-желудочном переходе). Крайне редко встречаются карциносаркома, мелкоклеточный рак и меланома.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Рак пищевода и кардии, 2024 г.</w:t>
        </w:r>
      </w:hyperlink>
      <w:r>
        <w:rPr>
          <w:b w:val="0"/>
          <w:i/>
        </w:rPr>
        <w:t xml:space="preserve"> </w:t>
      </w:r>
      <w:hyperlink r:id="rId2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Данной пациентке показано проведение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паллиативной химиотерапии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только хирургическое лечение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предоперационной ХЛТ + хирургическое лечение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самостоятельной ХЛТ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предоперационной ХЛТ + хирургическое лечение</w:t>
      </w:r>
    </w:p>
    <w:p>
      <w:pPr>
        <w:ind w:left="504"/>
      </w:pPr>
      <w:r>
        <w:rPr>
          <w:b w:val="0"/>
          <w:i/>
        </w:rPr>
        <w:t>При IIВ-III стадиях рака пищевода (сТ2N0M0 высокого риска (наличие лимфоваскулярной инвазии, размер опухоли свыше 3-5 см, 3 степень злокачественности), сТ3-4N0-3M0, сТ1-2N1-3M0) рекомендуется сочетание хирургического лечения с лекарственной и/или химиолучевой терапией: предоперационная химиолучевая терапия или предоперационная химиотерапия (при плоскоклеточном раке), периоперационная химиотерапия (при аденокарциноме) либо самостоятельная химиолучевая терапия (при противопоказаниях к хирургическому лечению, при опухолях шейного отдела пищевода) для улучшения результатов лечения и выживаемости пациентов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Рак пищевода и кардии, 2024 г.</w:t>
        </w:r>
      </w:hyperlink>
      <w:r>
        <w:rPr>
          <w:b w:val="0"/>
          <w:i/>
        </w:rPr>
        <w:t xml:space="preserve"> </w:t>
      </w:r>
      <w:hyperlink r:id="rId2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Оптимальным режимом неоадъювантной ХЛТ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паклитаксел + карбоплатин еженедельно, 5 введений + ДЛТ до СОД 41-50 Гр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 курса цисплатин + ДЛТ СОД 60 Гр + 3 курса цисплатин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 курса химиотерапии 5-ФУ +  ДЛТ СОД 30 Гр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3 введение ежедневно паклитаксел/карбоплатин + ДЛТ СОД 20 Гр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паклитаксел + карбоплатин еженедельно, 5 введений + ДЛТ до СОД 41-50 Гр</w:t>
      </w:r>
    </w:p>
    <w:p>
      <w:pPr>
        <w:ind w:left="504"/>
      </w:pPr>
      <w:r>
        <w:rPr>
          <w:b w:val="0"/>
          <w:i/>
        </w:rPr>
        <w:t>Оптимальной является 3D-конформная дистанционная лучевая терапия на линейных ускорителях с энергией 6–18 МЭВ с РОД 1,8–2 Гр и СОД – до 41,4-50 Гр [35]. Одновременно с облучением проводится химиотерапия c режимами с включением препаратов платины, паклитаксела или фторурацила (еженедельный режим  паклитаксел + карбоплатин), FOLFOX, цисплатин + фторурацил). По данным исследования CROSS предпочтительным режимом предоперационной терапии является еженедельное введение паклитаксела 50 мг/м2 в/в и карбоплатина в дозе AUC2 в/в на фоне 5 недель лучевой терапии (СОД 41, Гр, РОД 1,8 Гр в неделю).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Рак пищевода и кардии, 2024 г.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30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Рак пищевода, инфильтрирующий стенку органа до мышечного слоя включительно при отсутствии регионарных и отдаленных метастазов по TNM Классификации Американского противоракового комитета (AJCC) 8Ed – 2017 соответствует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T2N1M0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T1N0M0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T2N0M0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T3N0M0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T2N0M0</w:t>
      </w:r>
    </w:p>
    <w:p>
      <w:pPr>
        <w:ind w:left="504"/>
      </w:pPr>
      <w:r>
        <w:rPr>
          <w:b w:val="0"/>
          <w:i/>
        </w:rPr>
        <w:t>Классификации Американского противоракового комитета (AJCC) 8Ed – 2017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Рак пищевода и кардии, 2024 г.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В течение первого года после окончания комбинированного/комплексного лечения контрольное обследование следует проводить с периодичностью 1 раз в _____ месяцев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3-6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2-2.5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7.5-9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3-6</w:t>
      </w:r>
    </w:p>
    <w:p>
      <w:pPr>
        <w:ind w:left="504"/>
      </w:pPr>
      <w:r>
        <w:rPr>
          <w:b w:val="0"/>
          <w:i/>
        </w:rPr>
        <w:t>Пациентов после радикального лечения (хирургия или химиолучевая терапия) – каждые 3-6 месяцев в первые 2 года, далее каждые 6-12 месяцев в последующие 3-5 лет, затем – ежегодно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Рак пищевода и кардии, 2024 г.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Фактором негативного прогноза у пациентов при раке пищевода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выраженная потеря массы до начала лечения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отсутствие периневральной инвазии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дифференцировка опухоли G2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наличие опухолевых клеток в крае резекции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наличие опухолевых клеток в крае резекции</w:t>
      </w:r>
    </w:p>
    <w:p>
      <w:pPr>
        <w:ind w:left="504"/>
      </w:pPr>
      <w:r>
        <w:rPr>
          <w:b w:val="0"/>
          <w:i/>
        </w:rPr>
        <w:t>Факторы негативного прогноза:</w:t>
        <w:br/>
        <w:br/>
        <w:t>* дифференцировка ≥G3;</w:t>
        <w:br/>
        <w:t>* наличие опухолевых клеток в краях резекции;</w:t>
        <w:br/>
        <w:t>* лимфатическая, сосудистая или периневральная инвазия;</w:t>
        <w:br/>
        <w:t>* уровень инвазии (вовлечение подслизистого слоя стенки пищевода), &gt;pT1sm1.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Рак пищевода и кардии, 2024 г.</w:t>
        </w:r>
      </w:hyperlink>
      <w:r>
        <w:rPr>
          <w:b w:val="0"/>
          <w:i/>
        </w:rPr>
        <w:t xml:space="preserve"> </w:t>
      </w:r>
      <w:hyperlink r:id="rId34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Основным видом оперативного вмешательства при раке пищевода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операция Льюиса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экстирпация пищевода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операция Уиппла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операция Бильрот 2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операция Льюиса</w:t>
      </w:r>
    </w:p>
    <w:p>
      <w:pPr>
        <w:ind w:left="504"/>
      </w:pPr>
      <w:r>
        <w:rPr>
          <w:b w:val="0"/>
          <w:i/>
        </w:rPr>
        <w:t>Основным видом операции при раке нижне-грудного отдела пищевода является субтотальная резекция пищевода с одномоментной внутриплевральной пластикой стеблем желудка или сегментом толстой кишки с билатеральной двухзональной медиастинальной лимфодиссекцией из комбинированного лапаротомного и правостороннего торакотомного доступов (операция типа Льюиса) с формированием анастомоза в апертуре правой плевральной полости выше уровня v. azygos. При локализации опухоли выше уровня бифуркации трахеи рекомендовано выполнение экстирпации пищевода с формированием анастомоза на шее.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Рак пищевода и кардии, 2024 г.</w:t>
        </w:r>
      </w:hyperlink>
      <w:r>
        <w:rPr>
          <w:b w:val="0"/>
          <w:i/>
        </w:rPr>
        <w:t xml:space="preserve"> </w:t>
      </w:r>
      <w:hyperlink r:id="rId3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При выявлении метастазов рака пищевода в шейно-надключичных лимфатических узлах после ранее проведенного радикального лечения, в первую очередь следует назначить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симптоматическое лечение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таргетную терапию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химиолучевую терапию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хирургическое лечение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химиолучевую терапию</w:t>
      </w:r>
    </w:p>
    <w:p>
      <w:pPr>
        <w:ind w:left="504"/>
      </w:pPr>
      <w:r>
        <w:rPr>
          <w:b w:val="0"/>
          <w:i/>
        </w:rPr>
        <w:t>При метастазах в надключичных лимфатических узлах терапией выбора также является самостоятельная химиолучевая терапия. У отдельных пациентов с изолированным поражением надключичных лимфатических узлов может быть рассмотрен вопрос о хирургическом лечении после предоперационной химиолучевой терапии. Поражение чревных лимфатических узлов также не является противопоказанием к проведению химиолучевой терапии с последующим решением вопроса об оперативном лечении.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Рак пищевода и кардии, 2024 г.</w:t>
        </w:r>
      </w:hyperlink>
      <w:r>
        <w:rPr>
          <w:b w:val="0"/>
          <w:i/>
        </w:rPr>
        <w:t xml:space="preserve"> </w:t>
      </w:r>
      <w:hyperlink r:id="rId36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Онкология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hyperlink" Target="https://library.mededtech.ru/rest/documents/KP237_24/" TargetMode="External"/><Relationship Id="rId22" Type="http://schemas.openxmlformats.org/officeDocument/2006/relationships/hyperlink" Target="https://library.mededtech.ru/rest/documents/KP237_24/#list_item_t5op25" TargetMode="External"/><Relationship Id="rId23" Type="http://schemas.openxmlformats.org/officeDocument/2006/relationships/image" Target="media/image6.png"/><Relationship Id="rId24" Type="http://schemas.openxmlformats.org/officeDocument/2006/relationships/hyperlink" Target="https://library.mededtech.ru/rest/documents/KP237_24/#list_item_ag3ura" TargetMode="External"/><Relationship Id="rId25" Type="http://schemas.openxmlformats.org/officeDocument/2006/relationships/hyperlink" Target="https://library.mededtech.ru/rest/documents/KP237_24/#1_5_2_tnm_&#1082;&#1083;&#1072;&#1089;&#1089;&#1080;&#1092;&#1080;&#1082;&#1072;&#1094;&#1080;&#1103;_&#1040;&#1084;&#1077;&#1088;&#1080;&#1082;&#1072;&#1085;&#1089;&#1082;&#1086;&#1075;&#1086;_&#1087;&#1088;&#1086;&#1090;&#1080;&#1074;&#1086;&#1088;&#1072;&#1082;&#1086;&#1074;&#1086;&#1075;&#1086;_&#1082;&#1086;&#1084;&#1080;&#1090;&#1077;&#1090;&#1072;_ajcc_8ed_2017_a_href_l10_10_a" TargetMode="External"/><Relationship Id="rId26" Type="http://schemas.openxmlformats.org/officeDocument/2006/relationships/hyperlink" Target="https://library.mededtech.ru/rest/documents/KP237_24/#paragraph_q4fb6c" TargetMode="External"/><Relationship Id="rId27" Type="http://schemas.openxmlformats.org/officeDocument/2006/relationships/hyperlink" Target="https://library.mededtech.ru/rest/documents/KP237_24/#paragraph_p58id8" TargetMode="External"/><Relationship Id="rId28" Type="http://schemas.openxmlformats.org/officeDocument/2006/relationships/hyperlink" Target="https://library.mededtech.ru/rest/documents/KP237_24/#list_item_v1gj1k" TargetMode="External"/><Relationship Id="rId29" Type="http://schemas.openxmlformats.org/officeDocument/2006/relationships/hyperlink" Target="https://library.mededtech.ru/rest/documents/KP237_24/#tab11" TargetMode="External"/><Relationship Id="rId30" Type="http://schemas.openxmlformats.org/officeDocument/2006/relationships/hyperlink" Target="https://library.mededtech.ru/rest/documents/KP237_24/#paragraph_o8tv9t" TargetMode="External"/><Relationship Id="rId31" Type="http://schemas.openxmlformats.org/officeDocument/2006/relationships/hyperlink" Target="https://library.mededtech.ru/rest/documents/KP237_24/#tab4" TargetMode="External"/><Relationship Id="rId32" Type="http://schemas.openxmlformats.org/officeDocument/2006/relationships/hyperlink" Target="https://library.mededtech.ru/rest/documents/KP237_24/#list_item_cp1jkb" TargetMode="External"/><Relationship Id="rId33" Type="http://schemas.openxmlformats.org/officeDocument/2006/relationships/image" Target="media/image7.png"/><Relationship Id="rId34" Type="http://schemas.openxmlformats.org/officeDocument/2006/relationships/hyperlink" Target="https://library.mededtech.ru/rest/documents/KP237_24/#paragraph_7ekil4" TargetMode="External"/><Relationship Id="rId35" Type="http://schemas.openxmlformats.org/officeDocument/2006/relationships/hyperlink" Target="https://library.mededtech.ru/rest/documents/KP237_24/#paragraph_uamuir" TargetMode="External"/><Relationship Id="rId36" Type="http://schemas.openxmlformats.org/officeDocument/2006/relationships/hyperlink" Target="https://library.mededtech.ru/rest/documents/KP237_24/#paragraph_3rdfq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